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9B662" w14:textId="77777777" w:rsidR="00872DAD" w:rsidRPr="00872DAD" w:rsidRDefault="00872DAD" w:rsidP="00872DAD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872DAD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References </w:t>
      </w:r>
    </w:p>
    <w:p w14:paraId="0866A44C" w14:textId="77777777" w:rsidR="00872DAD" w:rsidRPr="00872DAD" w:rsidRDefault="00872DAD" w:rsidP="00872DAD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64B9B127" w14:textId="77777777" w:rsidR="00872DAD" w:rsidRPr="00872DAD" w:rsidRDefault="00872DAD" w:rsidP="00872DAD">
      <w:pPr>
        <w:spacing w:after="0" w:line="480" w:lineRule="auto"/>
        <w:ind w:hanging="720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 xml:space="preserve">Abbas, M., Moussa, M., &amp; Akel, H. (2023, July 17). Type I hypersensitivity reaction. In </w:t>
      </w:r>
      <w:proofErr w:type="spellStart"/>
      <w:r w:rsidRPr="00872DAD">
        <w:rPr>
          <w:rFonts w:ascii="Arial" w:eastAsia="Times New Roman" w:hAnsi="Arial" w:cs="Arial"/>
          <w:i/>
          <w:iCs/>
          <w:color w:val="212121"/>
          <w:kern w:val="0"/>
          <w:shd w:val="clear" w:color="auto" w:fill="FFFFFF"/>
          <w:lang w:eastAsia="en-CA"/>
          <w14:ligatures w14:val="none"/>
        </w:rPr>
        <w:t>StatPearls</w:t>
      </w:r>
      <w:proofErr w:type="spellEnd"/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 xml:space="preserve"> [Internet]. </w:t>
      </w:r>
      <w:proofErr w:type="spellStart"/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>StatPearls</w:t>
      </w:r>
      <w:proofErr w:type="spellEnd"/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 xml:space="preserve"> Publishing. Available from </w:t>
      </w:r>
      <w:hyperlink r:id="rId4" w:history="1">
        <w:r w:rsidRPr="00872DAD">
          <w:rPr>
            <w:rFonts w:ascii="Arial" w:eastAsia="Times New Roman" w:hAnsi="Arial" w:cs="Arial"/>
            <w:color w:val="1155CC"/>
            <w:kern w:val="0"/>
            <w:u w:val="single"/>
            <w:shd w:val="clear" w:color="auto" w:fill="FFFFFF"/>
            <w:lang w:eastAsia="en-CA"/>
            <w14:ligatures w14:val="none"/>
          </w:rPr>
          <w:t>https://www.ncbi.nlm.nih.gov/books/NBK560561/</w:t>
        </w:r>
      </w:hyperlink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> </w:t>
      </w:r>
    </w:p>
    <w:p w14:paraId="42CE1230" w14:textId="77777777" w:rsidR="00872DAD" w:rsidRPr="00872DAD" w:rsidRDefault="00872DAD" w:rsidP="00872DAD">
      <w:pPr>
        <w:spacing w:after="0" w:line="480" w:lineRule="auto"/>
        <w:ind w:hanging="720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 xml:space="preserve">Abrams, E. M., &amp; Khan, D. A. (2018). Diagnosing and managing drug allergy. </w:t>
      </w:r>
      <w:r w:rsidRPr="00872DAD">
        <w:rPr>
          <w:rFonts w:ascii="Arial" w:eastAsia="Times New Roman" w:hAnsi="Arial" w:cs="Arial"/>
          <w:i/>
          <w:iCs/>
          <w:color w:val="212121"/>
          <w:kern w:val="0"/>
          <w:shd w:val="clear" w:color="auto" w:fill="FFFFFF"/>
          <w:lang w:eastAsia="en-CA"/>
          <w14:ligatures w14:val="none"/>
        </w:rPr>
        <w:t>CMAJ, 190</w:t>
      </w:r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 xml:space="preserve">(17), E532–E538. </w:t>
      </w:r>
      <w:hyperlink r:id="rId5" w:history="1">
        <w:r w:rsidRPr="00872DAD">
          <w:rPr>
            <w:rFonts w:ascii="Arial" w:eastAsia="Times New Roman" w:hAnsi="Arial" w:cs="Arial"/>
            <w:color w:val="1155CC"/>
            <w:kern w:val="0"/>
            <w:u w:val="single"/>
            <w:shd w:val="clear" w:color="auto" w:fill="FFFFFF"/>
            <w:lang w:eastAsia="en-CA"/>
            <w14:ligatures w14:val="none"/>
          </w:rPr>
          <w:t>https://doi.org/10.1503/cmaj.171315</w:t>
        </w:r>
      </w:hyperlink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> </w:t>
      </w:r>
    </w:p>
    <w:p w14:paraId="769CA04A" w14:textId="77777777" w:rsidR="00872DAD" w:rsidRPr="00872DAD" w:rsidRDefault="00872DAD" w:rsidP="00872DAD">
      <w:pPr>
        <w:spacing w:after="0" w:line="480" w:lineRule="auto"/>
        <w:ind w:hanging="720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 xml:space="preserve">American College of Allergy, Asthma &amp; Immunology. (n.d.). Drug allergies. </w:t>
      </w:r>
      <w:r w:rsidRPr="00872DAD">
        <w:rPr>
          <w:rFonts w:ascii="Arial" w:eastAsia="Times New Roman" w:hAnsi="Arial" w:cs="Arial"/>
          <w:i/>
          <w:iCs/>
          <w:color w:val="212121"/>
          <w:kern w:val="0"/>
          <w:shd w:val="clear" w:color="auto" w:fill="FFFFFF"/>
          <w:lang w:eastAsia="en-CA"/>
          <w14:ligatures w14:val="none"/>
        </w:rPr>
        <w:t>ACAAI</w:t>
      </w:r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 xml:space="preserve">. Retrieved October 20, 2024, from </w:t>
      </w:r>
      <w:hyperlink r:id="rId6" w:history="1">
        <w:r w:rsidRPr="00872DAD">
          <w:rPr>
            <w:rFonts w:ascii="Arial" w:eastAsia="Times New Roman" w:hAnsi="Arial" w:cs="Arial"/>
            <w:color w:val="1155CC"/>
            <w:kern w:val="0"/>
            <w:u w:val="single"/>
            <w:shd w:val="clear" w:color="auto" w:fill="FFFFFF"/>
            <w:lang w:eastAsia="en-CA"/>
            <w14:ligatures w14:val="none"/>
          </w:rPr>
          <w:t>https://acaai.org/allergies/allergic-conditions/drug-allergies/</w:t>
        </w:r>
      </w:hyperlink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> </w:t>
      </w:r>
    </w:p>
    <w:p w14:paraId="71BE2374" w14:textId="77777777" w:rsidR="00872DAD" w:rsidRPr="00872DAD" w:rsidRDefault="00872DAD" w:rsidP="00872DAD">
      <w:pPr>
        <w:spacing w:after="0" w:line="480" w:lineRule="auto"/>
        <w:ind w:hanging="720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 xml:space="preserve">Broyles, A. D., Sussman, G., &amp; Desai, M. (2020). Practical guidance for the evaluation and management of drug hypersensitivity: Specific drugs. </w:t>
      </w:r>
      <w:r w:rsidRPr="00872DAD">
        <w:rPr>
          <w:rFonts w:ascii="Arial" w:eastAsia="Times New Roman" w:hAnsi="Arial" w:cs="Arial"/>
          <w:i/>
          <w:iCs/>
          <w:color w:val="212121"/>
          <w:kern w:val="0"/>
          <w:shd w:val="clear" w:color="auto" w:fill="FFFFFF"/>
          <w:lang w:eastAsia="en-CA"/>
          <w14:ligatures w14:val="none"/>
        </w:rPr>
        <w:t>The Journal of Allergy and Clinical Immunology: In Practice, 8</w:t>
      </w:r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 xml:space="preserve">(9), S16-S116. </w:t>
      </w:r>
      <w:hyperlink r:id="rId7" w:history="1">
        <w:r w:rsidRPr="00872DAD">
          <w:rPr>
            <w:rFonts w:ascii="Arial" w:eastAsia="Times New Roman" w:hAnsi="Arial" w:cs="Arial"/>
            <w:color w:val="1155CC"/>
            <w:kern w:val="0"/>
            <w:u w:val="single"/>
            <w:shd w:val="clear" w:color="auto" w:fill="FFFFFF"/>
            <w:lang w:eastAsia="en-CA"/>
            <w14:ligatures w14:val="none"/>
          </w:rPr>
          <w:t>https://doi.org/10.1016/j.jaip.2020.05.027</w:t>
        </w:r>
      </w:hyperlink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> </w:t>
      </w:r>
    </w:p>
    <w:p w14:paraId="2662FAA0" w14:textId="77777777" w:rsidR="00872DAD" w:rsidRPr="00872DAD" w:rsidRDefault="00872DAD" w:rsidP="00872DAD">
      <w:pPr>
        <w:spacing w:after="0" w:line="480" w:lineRule="auto"/>
        <w:ind w:hanging="720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 xml:space="preserve">BC Centre for Disease Control. (n.d.). </w:t>
      </w:r>
      <w:r w:rsidRPr="00872DAD">
        <w:rPr>
          <w:rFonts w:ascii="Arial" w:eastAsia="Times New Roman" w:hAnsi="Arial" w:cs="Arial"/>
          <w:i/>
          <w:iCs/>
          <w:color w:val="212121"/>
          <w:kern w:val="0"/>
          <w:shd w:val="clear" w:color="auto" w:fill="FFFFFF"/>
          <w:lang w:eastAsia="en-CA"/>
          <w14:ligatures w14:val="none"/>
        </w:rPr>
        <w:t>Provincial anaphylaxis emergency protocol</w:t>
      </w:r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 xml:space="preserve">. </w:t>
      </w:r>
      <w:hyperlink r:id="rId8" w:history="1">
        <w:r w:rsidRPr="00872DAD">
          <w:rPr>
            <w:rFonts w:ascii="Arial" w:eastAsia="Times New Roman" w:hAnsi="Arial" w:cs="Arial"/>
            <w:color w:val="1155CC"/>
            <w:kern w:val="0"/>
            <w:u w:val="single"/>
            <w:shd w:val="clear" w:color="auto" w:fill="FFFFFF"/>
            <w:lang w:eastAsia="en-CA"/>
            <w14:ligatures w14:val="none"/>
          </w:rPr>
          <w:t>http://www.bccdc.ca/resource-gallery/Documents/Guidelines%20and%20Forms/Guidelines%20and%20Manuals/Immunization/Vaccine%20Info/Anaphylaxis-Provincial_DST.pdf</w:t>
        </w:r>
      </w:hyperlink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> </w:t>
      </w:r>
    </w:p>
    <w:p w14:paraId="3E358BBD" w14:textId="77777777" w:rsidR="00872DAD" w:rsidRPr="00872DAD" w:rsidRDefault="00872DAD" w:rsidP="00872DAD">
      <w:pPr>
        <w:spacing w:after="0" w:line="480" w:lineRule="auto"/>
        <w:ind w:hanging="720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 xml:space="preserve">Canva. (n.d.). Stock images, videos, and graphics. Canva. Retrieved October 29, 2024, from </w:t>
      </w:r>
      <w:hyperlink r:id="rId9" w:history="1">
        <w:r w:rsidRPr="00872DAD">
          <w:rPr>
            <w:rFonts w:ascii="Arial" w:eastAsia="Times New Roman" w:hAnsi="Arial" w:cs="Arial"/>
            <w:color w:val="1155CC"/>
            <w:kern w:val="0"/>
            <w:u w:val="single"/>
            <w:shd w:val="clear" w:color="auto" w:fill="FFFFFF"/>
            <w:lang w:eastAsia="en-CA"/>
            <w14:ligatures w14:val="none"/>
          </w:rPr>
          <w:t>https://www.canva.com</w:t>
        </w:r>
      </w:hyperlink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> </w:t>
      </w:r>
    </w:p>
    <w:p w14:paraId="273EB3AB" w14:textId="77777777" w:rsidR="00872DAD" w:rsidRPr="00872DAD" w:rsidRDefault="00872DAD" w:rsidP="00872DAD">
      <w:pPr>
        <w:spacing w:after="0" w:line="480" w:lineRule="auto"/>
        <w:ind w:hanging="720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>Stock illustrations and videos were used, provided by Canva </w:t>
      </w:r>
    </w:p>
    <w:p w14:paraId="2B7F7114" w14:textId="77777777" w:rsidR="00872DAD" w:rsidRPr="00872DAD" w:rsidRDefault="00872DAD" w:rsidP="00872DAD">
      <w:pPr>
        <w:spacing w:before="140" w:after="140" w:line="480" w:lineRule="auto"/>
        <w:ind w:hanging="720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 xml:space="preserve">Da Fonseca, M. A. (2000). Adverse reaction to amoxicillin: A case report. </w:t>
      </w:r>
      <w:r w:rsidRPr="00872DAD">
        <w:rPr>
          <w:rFonts w:ascii="Arial" w:eastAsia="Times New Roman" w:hAnsi="Arial" w:cs="Arial"/>
          <w:i/>
          <w:iCs/>
          <w:color w:val="212121"/>
          <w:kern w:val="0"/>
          <w:shd w:val="clear" w:color="auto" w:fill="FFFFFF"/>
          <w:lang w:eastAsia="en-CA"/>
          <w14:ligatures w14:val="none"/>
        </w:rPr>
        <w:t>Pediatric Dentistry</w:t>
      </w:r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 xml:space="preserve">, </w:t>
      </w:r>
      <w:r w:rsidRPr="00872DAD">
        <w:rPr>
          <w:rFonts w:ascii="Arial" w:eastAsia="Times New Roman" w:hAnsi="Arial" w:cs="Arial"/>
          <w:i/>
          <w:iCs/>
          <w:color w:val="212121"/>
          <w:kern w:val="0"/>
          <w:shd w:val="clear" w:color="auto" w:fill="FFFFFF"/>
          <w:lang w:eastAsia="en-CA"/>
          <w14:ligatures w14:val="none"/>
        </w:rPr>
        <w:t>22</w:t>
      </w:r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 xml:space="preserve">(5), 401–404. </w:t>
      </w:r>
      <w:hyperlink r:id="rId10" w:history="1">
        <w:r w:rsidRPr="00872DAD">
          <w:rPr>
            <w:rFonts w:ascii="Arial" w:eastAsia="Times New Roman" w:hAnsi="Arial" w:cs="Arial"/>
            <w:color w:val="1155CC"/>
            <w:kern w:val="0"/>
            <w:u w:val="single"/>
            <w:shd w:val="clear" w:color="auto" w:fill="FFFFFF"/>
            <w:lang w:eastAsia="en-CA"/>
            <w14:ligatures w14:val="none"/>
          </w:rPr>
          <w:t>https://www.aapd.org/globalassets/media/publications/archives/dafonseca-22-05.pdf</w:t>
        </w:r>
      </w:hyperlink>
    </w:p>
    <w:p w14:paraId="5321CA75" w14:textId="77777777" w:rsidR="00872DAD" w:rsidRPr="00872DAD" w:rsidRDefault="00872DAD" w:rsidP="00872DAD">
      <w:pPr>
        <w:spacing w:after="0" w:line="480" w:lineRule="auto"/>
        <w:ind w:hanging="720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>This source provided appropriate information that has not changed much in the past couple of years. Extra references have been provided. </w:t>
      </w:r>
    </w:p>
    <w:p w14:paraId="5260BB33" w14:textId="77777777" w:rsidR="00872DAD" w:rsidRDefault="00872DAD" w:rsidP="00872DAD">
      <w:pPr>
        <w:spacing w:before="140" w:after="140" w:line="480" w:lineRule="auto"/>
        <w:ind w:hanging="720"/>
        <w:rPr>
          <w:rFonts w:ascii="Arial" w:eastAsia="Times New Roman" w:hAnsi="Arial" w:cs="Arial"/>
          <w:color w:val="1155CC"/>
          <w:kern w:val="0"/>
          <w:u w:val="single"/>
          <w:shd w:val="clear" w:color="auto" w:fill="FFFFFF"/>
          <w:lang w:eastAsia="en-CA"/>
          <w14:ligatures w14:val="none"/>
        </w:rPr>
      </w:pPr>
      <w:proofErr w:type="spellStart"/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lastRenderedPageBreak/>
        <w:t>HealthLinkBC</w:t>
      </w:r>
      <w:proofErr w:type="spellEnd"/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 xml:space="preserve">. (n.d.). </w:t>
      </w:r>
      <w:r w:rsidRPr="00872DAD">
        <w:rPr>
          <w:rFonts w:ascii="Arial" w:eastAsia="Times New Roman" w:hAnsi="Arial" w:cs="Arial"/>
          <w:i/>
          <w:iCs/>
          <w:color w:val="212121"/>
          <w:kern w:val="0"/>
          <w:shd w:val="clear" w:color="auto" w:fill="FFFFFF"/>
          <w:lang w:eastAsia="en-CA"/>
          <w14:ligatures w14:val="none"/>
        </w:rPr>
        <w:t>Vital signs in children</w:t>
      </w:r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 xml:space="preserve">. </w:t>
      </w:r>
      <w:hyperlink r:id="rId11" w:history="1">
        <w:r w:rsidRPr="00872DAD">
          <w:rPr>
            <w:rFonts w:ascii="Arial" w:eastAsia="Times New Roman" w:hAnsi="Arial" w:cs="Arial"/>
            <w:color w:val="1155CC"/>
            <w:kern w:val="0"/>
            <w:u w:val="single"/>
            <w:shd w:val="clear" w:color="auto" w:fill="FFFFFF"/>
            <w:lang w:eastAsia="en-CA"/>
            <w14:ligatures w14:val="none"/>
          </w:rPr>
          <w:t>https://www.healthlinkbc.ca/health-topics/vital-signs-children</w:t>
        </w:r>
      </w:hyperlink>
      <w:r w:rsidRPr="00872DAD">
        <w:rPr>
          <w:rFonts w:ascii="Arial" w:eastAsia="Times New Roman" w:hAnsi="Arial" w:cs="Arial"/>
          <w:color w:val="1155CC"/>
          <w:kern w:val="0"/>
          <w:u w:val="single"/>
          <w:shd w:val="clear" w:color="auto" w:fill="FFFFFF"/>
          <w:lang w:eastAsia="en-CA"/>
          <w14:ligatures w14:val="none"/>
        </w:rPr>
        <w:t xml:space="preserve"> (BRIT)</w:t>
      </w:r>
    </w:p>
    <w:p w14:paraId="57309981" w14:textId="2615C51E" w:rsidR="00567983" w:rsidRPr="00872DAD" w:rsidRDefault="00567983" w:rsidP="00872DAD">
      <w:pPr>
        <w:spacing w:before="140" w:after="140" w:line="480" w:lineRule="auto"/>
        <w:ind w:hanging="720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567983">
        <w:rPr>
          <w:rFonts w:ascii="Arial" w:eastAsia="Times New Roman" w:hAnsi="Arial" w:cs="Arial"/>
          <w:kern w:val="0"/>
          <w:lang w:eastAsia="en-CA"/>
          <w14:ligatures w14:val="none"/>
        </w:rPr>
        <w:t xml:space="preserve">Mayo Clinic. (2023, March 24). </w:t>
      </w:r>
      <w:r w:rsidRPr="00567983">
        <w:rPr>
          <w:rFonts w:ascii="Arial" w:eastAsia="Times New Roman" w:hAnsi="Arial" w:cs="Arial"/>
          <w:i/>
          <w:iCs/>
          <w:kern w:val="0"/>
          <w:lang w:eastAsia="en-CA"/>
          <w14:ligatures w14:val="none"/>
        </w:rPr>
        <w:t>Endocarditis - Symptoms &amp; causes</w:t>
      </w:r>
      <w:r w:rsidRPr="00567983">
        <w:rPr>
          <w:rFonts w:ascii="Arial" w:eastAsia="Times New Roman" w:hAnsi="Arial" w:cs="Arial"/>
          <w:kern w:val="0"/>
          <w:lang w:eastAsia="en-CA"/>
          <w14:ligatures w14:val="none"/>
        </w:rPr>
        <w:t xml:space="preserve">. Mayo Foundation for Medical Education and Research. </w:t>
      </w:r>
      <w:hyperlink r:id="rId12" w:tgtFrame="_new" w:history="1">
        <w:r w:rsidRPr="00567983">
          <w:rPr>
            <w:rStyle w:val="Hyperlink"/>
            <w:rFonts w:ascii="Arial" w:eastAsia="Times New Roman" w:hAnsi="Arial" w:cs="Arial"/>
            <w:kern w:val="0"/>
            <w:lang w:eastAsia="en-CA"/>
            <w14:ligatures w14:val="none"/>
          </w:rPr>
          <w:t>https://www.mayoclinic.org/diseases-conditions/endocarditis/symptoms-causes/syc-20352576</w:t>
        </w:r>
      </w:hyperlink>
    </w:p>
    <w:p w14:paraId="63FA856B" w14:textId="77777777" w:rsidR="00872DAD" w:rsidRPr="00872DAD" w:rsidRDefault="00872DAD" w:rsidP="00872DAD">
      <w:pPr>
        <w:spacing w:after="0" w:line="480" w:lineRule="auto"/>
        <w:ind w:hanging="720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 xml:space="preserve">National Library of Medicine. (n.d.). </w:t>
      </w:r>
      <w:r w:rsidRPr="00872DAD">
        <w:rPr>
          <w:rFonts w:ascii="Arial" w:eastAsia="Times New Roman" w:hAnsi="Arial" w:cs="Arial"/>
          <w:i/>
          <w:iCs/>
          <w:color w:val="212121"/>
          <w:kern w:val="0"/>
          <w:shd w:val="clear" w:color="auto" w:fill="FFFFFF"/>
          <w:lang w:eastAsia="en-CA"/>
          <w14:ligatures w14:val="none"/>
        </w:rPr>
        <w:t>Penicillin allergy</w:t>
      </w:r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 xml:space="preserve">. National Center for Biotechnology Information. </w:t>
      </w:r>
      <w:hyperlink r:id="rId13" w:history="1">
        <w:r w:rsidRPr="00872DAD">
          <w:rPr>
            <w:rFonts w:ascii="Arial" w:eastAsia="Times New Roman" w:hAnsi="Arial" w:cs="Arial"/>
            <w:color w:val="1155CC"/>
            <w:kern w:val="0"/>
            <w:u w:val="single"/>
            <w:shd w:val="clear" w:color="auto" w:fill="FFFFFF"/>
            <w:lang w:eastAsia="en-CA"/>
            <w14:ligatures w14:val="none"/>
          </w:rPr>
          <w:t>https://www.ncbi.nlm.nih.gov/books/NBK459320/</w:t>
        </w:r>
      </w:hyperlink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> </w:t>
      </w:r>
    </w:p>
    <w:p w14:paraId="1CDD374F" w14:textId="77777777" w:rsidR="00872DAD" w:rsidRPr="00872DAD" w:rsidRDefault="00872DAD" w:rsidP="00872DAD">
      <w:pPr>
        <w:spacing w:after="0" w:line="480" w:lineRule="auto"/>
        <w:ind w:hanging="720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 xml:space="preserve">Schnyder, B., &amp; Pichler, W. J. (2009). Mechanisms of drug-induced allergy. </w:t>
      </w:r>
      <w:r w:rsidRPr="00872DAD">
        <w:rPr>
          <w:rFonts w:ascii="Arial" w:eastAsia="Times New Roman" w:hAnsi="Arial" w:cs="Arial"/>
          <w:i/>
          <w:iCs/>
          <w:color w:val="212121"/>
          <w:kern w:val="0"/>
          <w:shd w:val="clear" w:color="auto" w:fill="FFFFFF"/>
          <w:lang w:eastAsia="en-CA"/>
          <w14:ligatures w14:val="none"/>
        </w:rPr>
        <w:t>Mayo Clinic Proceedings, 84</w:t>
      </w:r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 xml:space="preserve">(3), 268–272. </w:t>
      </w:r>
      <w:hyperlink r:id="rId14" w:history="1">
        <w:r w:rsidRPr="00872DAD">
          <w:rPr>
            <w:rFonts w:ascii="Arial" w:eastAsia="Times New Roman" w:hAnsi="Arial" w:cs="Arial"/>
            <w:color w:val="1155CC"/>
            <w:kern w:val="0"/>
            <w:u w:val="single"/>
            <w:shd w:val="clear" w:color="auto" w:fill="FFFFFF"/>
            <w:lang w:eastAsia="en-CA"/>
            <w14:ligatures w14:val="none"/>
          </w:rPr>
          <w:t>https://doi.org/10.4065/84.3.268</w:t>
        </w:r>
      </w:hyperlink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> </w:t>
      </w:r>
    </w:p>
    <w:p w14:paraId="6D9F9894" w14:textId="77777777" w:rsidR="00872DAD" w:rsidRPr="00872DAD" w:rsidRDefault="00872DAD" w:rsidP="00872DAD">
      <w:pPr>
        <w:spacing w:after="0" w:line="480" w:lineRule="auto"/>
        <w:ind w:hanging="720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>This source provided appropriate information that has not changed much in the past couple of years. Extra references have been provided. </w:t>
      </w:r>
    </w:p>
    <w:p w14:paraId="1EAD5F87" w14:textId="77777777" w:rsidR="00872DAD" w:rsidRPr="00872DAD" w:rsidRDefault="00872DAD" w:rsidP="00872DAD">
      <w:pPr>
        <w:spacing w:after="0" w:line="480" w:lineRule="auto"/>
        <w:ind w:hanging="720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 xml:space="preserve">Warrington, R., Silviu-Dan, F., &amp; Wong, T. (2018, September 12). Drug allergy: A 2022 practice parameter update. </w:t>
      </w:r>
      <w:r w:rsidRPr="00872DAD">
        <w:rPr>
          <w:rFonts w:ascii="Arial" w:eastAsia="Times New Roman" w:hAnsi="Arial" w:cs="Arial"/>
          <w:i/>
          <w:iCs/>
          <w:color w:val="212121"/>
          <w:kern w:val="0"/>
          <w:shd w:val="clear" w:color="auto" w:fill="FFFFFF"/>
          <w:lang w:eastAsia="en-CA"/>
          <w14:ligatures w14:val="none"/>
        </w:rPr>
        <w:t>The Journal of Allergy and Clinical Immunology</w:t>
      </w:r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 xml:space="preserve">. </w:t>
      </w:r>
      <w:hyperlink r:id="rId15" w:history="1">
        <w:r w:rsidRPr="00872DAD">
          <w:rPr>
            <w:rFonts w:ascii="Arial" w:eastAsia="Times New Roman" w:hAnsi="Arial" w:cs="Arial"/>
            <w:color w:val="1155CC"/>
            <w:kern w:val="0"/>
            <w:u w:val="single"/>
            <w:shd w:val="clear" w:color="auto" w:fill="FFFFFF"/>
            <w:lang w:eastAsia="en-CA"/>
            <w14:ligatures w14:val="none"/>
          </w:rPr>
          <w:t>https://www.jacionline.org/article/S0091-6749(22)01186-1/fulltext</w:t>
        </w:r>
      </w:hyperlink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> </w:t>
      </w:r>
    </w:p>
    <w:p w14:paraId="7C3677F6" w14:textId="77777777" w:rsidR="00872DAD" w:rsidRPr="00872DAD" w:rsidRDefault="00872DAD" w:rsidP="00872DAD">
      <w:pPr>
        <w:spacing w:after="0" w:line="480" w:lineRule="auto"/>
        <w:ind w:hanging="720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 xml:space="preserve">Weisser, C., &amp; Ben-Shoshan, M. (2016). Immediate and non-immediate allergic reactions to amoxicillin present a diagnostic dilemma: A case series. </w:t>
      </w:r>
      <w:r w:rsidRPr="00872DAD">
        <w:rPr>
          <w:rFonts w:ascii="Arial" w:eastAsia="Times New Roman" w:hAnsi="Arial" w:cs="Arial"/>
          <w:i/>
          <w:iCs/>
          <w:color w:val="212121"/>
          <w:kern w:val="0"/>
          <w:shd w:val="clear" w:color="auto" w:fill="FFFFFF"/>
          <w:lang w:eastAsia="en-CA"/>
          <w14:ligatures w14:val="none"/>
        </w:rPr>
        <w:t>Journal of Medical Case Reports, 10</w:t>
      </w:r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 xml:space="preserve">(10). </w:t>
      </w:r>
      <w:hyperlink r:id="rId16" w:history="1">
        <w:r w:rsidRPr="00872DAD">
          <w:rPr>
            <w:rFonts w:ascii="Arial" w:eastAsia="Times New Roman" w:hAnsi="Arial" w:cs="Arial"/>
            <w:color w:val="1155CC"/>
            <w:kern w:val="0"/>
            <w:u w:val="single"/>
            <w:shd w:val="clear" w:color="auto" w:fill="FFFFFF"/>
            <w:lang w:eastAsia="en-CA"/>
            <w14:ligatures w14:val="none"/>
          </w:rPr>
          <w:t>https://doi.org/10.1186/s13256-016-0801-2</w:t>
        </w:r>
      </w:hyperlink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> </w:t>
      </w:r>
    </w:p>
    <w:p w14:paraId="0038526F" w14:textId="50A501DE" w:rsidR="00872DAD" w:rsidRPr="00872DAD" w:rsidRDefault="00872DAD" w:rsidP="00872DAD">
      <w:pPr>
        <w:rPr>
          <w:rFonts w:ascii="Arial" w:hAnsi="Arial" w:cs="Arial"/>
        </w:rPr>
      </w:pPr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 xml:space="preserve">Wong, T., Atkinson, A., </w:t>
      </w:r>
      <w:proofErr w:type="spellStart"/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>t'Jong</w:t>
      </w:r>
      <w:proofErr w:type="spellEnd"/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 xml:space="preserve">, G., Rieder, M. J., Chan, E. S., &amp; Abrams, E. M. (2020). Beta-lactam allergy in the paediatric population. </w:t>
      </w:r>
      <w:r w:rsidRPr="00872DAD">
        <w:rPr>
          <w:rFonts w:ascii="Arial" w:eastAsia="Times New Roman" w:hAnsi="Arial" w:cs="Arial"/>
          <w:i/>
          <w:iCs/>
          <w:color w:val="212121"/>
          <w:kern w:val="0"/>
          <w:shd w:val="clear" w:color="auto" w:fill="FFFFFF"/>
          <w:lang w:eastAsia="en-CA"/>
          <w14:ligatures w14:val="none"/>
        </w:rPr>
        <w:t>Paediatrics &amp; Child Health</w:t>
      </w:r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 xml:space="preserve">, </w:t>
      </w:r>
      <w:r w:rsidRPr="00872DAD">
        <w:rPr>
          <w:rFonts w:ascii="Arial" w:eastAsia="Times New Roman" w:hAnsi="Arial" w:cs="Arial"/>
          <w:i/>
          <w:iCs/>
          <w:color w:val="212121"/>
          <w:kern w:val="0"/>
          <w:shd w:val="clear" w:color="auto" w:fill="FFFFFF"/>
          <w:lang w:eastAsia="en-CA"/>
          <w14:ligatures w14:val="none"/>
        </w:rPr>
        <w:t>25</w:t>
      </w:r>
      <w:r w:rsidRPr="00872DAD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 xml:space="preserve">(1), 62-63. </w:t>
      </w:r>
      <w:hyperlink r:id="rId17" w:history="1">
        <w:r w:rsidRPr="00872DAD">
          <w:rPr>
            <w:rFonts w:ascii="Arial" w:eastAsia="Times New Roman" w:hAnsi="Arial" w:cs="Arial"/>
            <w:color w:val="1155CC"/>
            <w:kern w:val="0"/>
            <w:u w:val="single"/>
            <w:shd w:val="clear" w:color="auto" w:fill="FFFFFF"/>
            <w:lang w:eastAsia="en-CA"/>
            <w14:ligatures w14:val="none"/>
          </w:rPr>
          <w:t>https://doi.org/10.1093/pch/pxz179</w:t>
        </w:r>
      </w:hyperlink>
    </w:p>
    <w:sectPr w:rsidR="00872DAD" w:rsidRPr="00872D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AD"/>
    <w:rsid w:val="004B3C72"/>
    <w:rsid w:val="00567983"/>
    <w:rsid w:val="00872DAD"/>
    <w:rsid w:val="00CB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CDEE"/>
  <w15:chartTrackingRefBased/>
  <w15:docId w15:val="{691B3375-6194-4388-8692-3857CFF6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D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D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D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D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D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D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D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D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D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D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D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D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D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D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D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2D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dc.ca/resource-gallery/Documents/Guidelines%20and%20Forms/Guidelines%20and%20Manuals/Immunization/Vaccine%20Info/Anaphylaxis-Provincial_DST.pdf" TargetMode="External"/><Relationship Id="rId13" Type="http://schemas.openxmlformats.org/officeDocument/2006/relationships/hyperlink" Target="https://www.ncbi.nlm.nih.gov/books/NBK459320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jaip.2020.05.027" TargetMode="External"/><Relationship Id="rId12" Type="http://schemas.openxmlformats.org/officeDocument/2006/relationships/hyperlink" Target="https://www.mayoclinic.org/diseases-conditions/endocarditis/symptoms-causes/syc-20352576" TargetMode="External"/><Relationship Id="rId17" Type="http://schemas.openxmlformats.org/officeDocument/2006/relationships/hyperlink" Target="https://doi.org/10.1093/pch/pxz1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186/s13256-016-0801-2" TargetMode="External"/><Relationship Id="rId1" Type="http://schemas.openxmlformats.org/officeDocument/2006/relationships/styles" Target="styles.xml"/><Relationship Id="rId6" Type="http://schemas.openxmlformats.org/officeDocument/2006/relationships/hyperlink" Target="https://acaai.org/allergies/allergic-conditions/drug-allergies/" TargetMode="External"/><Relationship Id="rId11" Type="http://schemas.openxmlformats.org/officeDocument/2006/relationships/hyperlink" Target="https://www.healthlinkbc.ca/health-topics/vital-signs-children" TargetMode="External"/><Relationship Id="rId5" Type="http://schemas.openxmlformats.org/officeDocument/2006/relationships/hyperlink" Target="https://doi.org/10.1503/cmaj.171315" TargetMode="External"/><Relationship Id="rId15" Type="http://schemas.openxmlformats.org/officeDocument/2006/relationships/hyperlink" Target="https://www.jacionline.org/article/S0091-6749(22)01186-1/fulltext" TargetMode="External"/><Relationship Id="rId10" Type="http://schemas.openxmlformats.org/officeDocument/2006/relationships/hyperlink" Target="https://www.aapd.org/globalassets/media/publications/archives/dafonseca-22-05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ncbi.nlm.nih.gov/books/NBK560561/" TargetMode="External"/><Relationship Id="rId9" Type="http://schemas.openxmlformats.org/officeDocument/2006/relationships/hyperlink" Target="https://www.canva.com" TargetMode="External"/><Relationship Id="rId14" Type="http://schemas.openxmlformats.org/officeDocument/2006/relationships/hyperlink" Target="https://doi.org/10.4065/84.3.2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 solomon</dc:creator>
  <cp:keywords/>
  <dc:description/>
  <cp:lastModifiedBy>MJ solomon</cp:lastModifiedBy>
  <cp:revision>2</cp:revision>
  <dcterms:created xsi:type="dcterms:W3CDTF">2024-11-01T02:40:00Z</dcterms:created>
  <dcterms:modified xsi:type="dcterms:W3CDTF">2024-11-01T03:50:00Z</dcterms:modified>
</cp:coreProperties>
</file>